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FA" w:rsidRDefault="003122FA" w:rsidP="003122FA">
      <w:pPr>
        <w:pStyle w:val="Heading1"/>
      </w:pPr>
      <w:bookmarkStart w:id="0" w:name="_Toc267477912"/>
      <w:r>
        <w:t>Exchange Network Schema Conformance Checklist</w:t>
      </w:r>
      <w:bookmarkEnd w:id="0"/>
    </w:p>
    <w:p w:rsidR="003122FA" w:rsidRDefault="003122FA" w:rsidP="003122FA"/>
    <w:p w:rsidR="003122FA" w:rsidRDefault="003122FA" w:rsidP="003122FA">
      <w:r w:rsidRPr="00934023">
        <w:t xml:space="preserve">The Checklist </w:t>
      </w:r>
      <w:r>
        <w:t xml:space="preserve">below </w:t>
      </w:r>
      <w:r w:rsidRPr="00934023">
        <w:t>contains a list of rules and guidelines from the Exchange Network XML Design Rules and Conventions (DRCs) and the Exchange Design Rules and Conventions (EDRCs). The checklist is not inclusive of all rules and guidelines; rather it only includes the items that have historically been the source of most issues with submitted exchange documentation packages. Exchange developers are expected to review and comply with the rules and guidelines in the DRCs and EDRCs.</w:t>
      </w:r>
    </w:p>
    <w:p w:rsidR="003122FA" w:rsidRDefault="003122FA" w:rsidP="003122FA"/>
    <w:p w:rsidR="003122FA" w:rsidRDefault="003122FA" w:rsidP="003122FA">
      <w:r w:rsidRPr="003810F7">
        <w:t>Exchange developers must include a completed checklist with their exchange documentation package. In cases where "no" was indicated for a checklist item, an explanation must</w:t>
      </w:r>
      <w:r>
        <w:t xml:space="preserve"> be provided on the Exceptions</w:t>
      </w:r>
      <w:r w:rsidRPr="003810F7">
        <w:t xml:space="preserve"> </w:t>
      </w:r>
      <w:r>
        <w:t>section at the bottom of</w:t>
      </w:r>
      <w:r w:rsidRPr="003810F7">
        <w:t xml:space="preserve"> this worksheet.</w:t>
      </w:r>
    </w:p>
    <w:p w:rsidR="003122FA" w:rsidRPr="00934023" w:rsidRDefault="003122FA" w:rsidP="003122FA"/>
    <w:tbl>
      <w:tblPr>
        <w:tblW w:w="5000" w:type="pct"/>
        <w:tblLook w:val="04A0"/>
      </w:tblPr>
      <w:tblGrid>
        <w:gridCol w:w="309"/>
        <w:gridCol w:w="1371"/>
        <w:gridCol w:w="393"/>
        <w:gridCol w:w="5818"/>
        <w:gridCol w:w="559"/>
        <w:gridCol w:w="511"/>
        <w:gridCol w:w="615"/>
      </w:tblGrid>
      <w:tr w:rsidR="003122FA" w:rsidRPr="00934023" w:rsidTr="00AF575F">
        <w:trPr>
          <w:trHeight w:val="300"/>
        </w:trPr>
        <w:tc>
          <w:tcPr>
            <w:tcW w:w="163" w:type="pct"/>
            <w:tcBorders>
              <w:top w:val="nil"/>
              <w:left w:val="nil"/>
              <w:bottom w:val="nil"/>
              <w:right w:val="nil"/>
            </w:tcBorders>
            <w:shd w:val="clear" w:color="auto" w:fill="auto"/>
            <w:vAlign w:val="bottom"/>
          </w:tcPr>
          <w:p w:rsidR="003122FA" w:rsidRPr="00934023" w:rsidRDefault="003122FA" w:rsidP="00AF575F">
            <w:pPr>
              <w:jc w:val="center"/>
              <w:rPr>
                <w:rFonts w:ascii="Calibri" w:hAnsi="Calibri" w:cs="Calibri"/>
                <w:b/>
                <w:bCs/>
                <w:color w:val="000000"/>
                <w:sz w:val="32"/>
                <w:szCs w:val="32"/>
              </w:rPr>
            </w:pPr>
          </w:p>
        </w:tc>
        <w:tc>
          <w:tcPr>
            <w:tcW w:w="915" w:type="pct"/>
            <w:gridSpan w:val="2"/>
            <w:tcBorders>
              <w:top w:val="single" w:sz="4" w:space="0" w:color="auto"/>
              <w:left w:val="single" w:sz="4" w:space="0" w:color="auto"/>
              <w:bottom w:val="nil"/>
              <w:right w:val="nil"/>
            </w:tcBorders>
            <w:shd w:val="clear" w:color="auto" w:fill="auto"/>
            <w:noWrap/>
            <w:vAlign w:val="center"/>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Exchange:</w:t>
            </w:r>
            <w:r>
              <w:rPr>
                <w:rFonts w:ascii="Calibri" w:hAnsi="Calibri" w:cs="Calibri"/>
                <w:color w:val="000000"/>
                <w:sz w:val="22"/>
                <w:szCs w:val="22"/>
              </w:rPr>
              <w:t xml:space="preserve"> ICISDA</w:t>
            </w:r>
          </w:p>
        </w:tc>
        <w:tc>
          <w:tcPr>
            <w:tcW w:w="3039" w:type="pct"/>
            <w:tcBorders>
              <w:top w:val="single" w:sz="4" w:space="0" w:color="auto"/>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93" w:type="pct"/>
            <w:tcBorders>
              <w:top w:val="single" w:sz="4" w:space="0" w:color="auto"/>
              <w:left w:val="nil"/>
              <w:bottom w:val="nil"/>
              <w:right w:val="nil"/>
            </w:tcBorders>
            <w:shd w:val="clear" w:color="auto" w:fill="auto"/>
            <w:vAlign w:val="bottom"/>
          </w:tcPr>
          <w:p w:rsidR="003122FA" w:rsidRPr="00934023" w:rsidRDefault="003122FA" w:rsidP="00AF575F">
            <w:pPr>
              <w:jc w:val="center"/>
              <w:rPr>
                <w:rFonts w:ascii="Calibri" w:hAnsi="Calibri" w:cs="Calibri"/>
                <w:b/>
                <w:bCs/>
                <w:color w:val="000000"/>
                <w:sz w:val="32"/>
                <w:szCs w:val="32"/>
              </w:rPr>
            </w:pPr>
            <w:r w:rsidRPr="00934023">
              <w:rPr>
                <w:rFonts w:ascii="Calibri" w:hAnsi="Calibri" w:cs="Calibri"/>
                <w:b/>
                <w:bCs/>
                <w:color w:val="000000"/>
                <w:sz w:val="32"/>
                <w:szCs w:val="32"/>
              </w:rPr>
              <w:t> </w:t>
            </w:r>
          </w:p>
        </w:tc>
        <w:tc>
          <w:tcPr>
            <w:tcW w:w="268" w:type="pct"/>
            <w:tcBorders>
              <w:top w:val="single" w:sz="4" w:space="0" w:color="auto"/>
              <w:left w:val="nil"/>
              <w:bottom w:val="nil"/>
              <w:right w:val="nil"/>
            </w:tcBorders>
            <w:shd w:val="clear" w:color="auto" w:fill="auto"/>
            <w:vAlign w:val="bottom"/>
          </w:tcPr>
          <w:p w:rsidR="003122FA" w:rsidRPr="00934023" w:rsidRDefault="003122FA" w:rsidP="00AF575F">
            <w:pPr>
              <w:jc w:val="center"/>
              <w:rPr>
                <w:rFonts w:ascii="Calibri" w:hAnsi="Calibri" w:cs="Calibri"/>
                <w:b/>
                <w:bCs/>
                <w:color w:val="000000"/>
                <w:sz w:val="32"/>
                <w:szCs w:val="32"/>
              </w:rPr>
            </w:pPr>
            <w:r w:rsidRPr="00934023">
              <w:rPr>
                <w:rFonts w:ascii="Calibri" w:hAnsi="Calibri" w:cs="Calibri"/>
                <w:b/>
                <w:bCs/>
                <w:color w:val="000000"/>
                <w:sz w:val="32"/>
                <w:szCs w:val="32"/>
              </w:rPr>
              <w:t> </w:t>
            </w:r>
          </w:p>
        </w:tc>
        <w:tc>
          <w:tcPr>
            <w:tcW w:w="322" w:type="pct"/>
            <w:tcBorders>
              <w:top w:val="single" w:sz="4" w:space="0" w:color="auto"/>
              <w:left w:val="nil"/>
              <w:bottom w:val="nil"/>
              <w:right w:val="single" w:sz="4" w:space="0" w:color="auto"/>
            </w:tcBorders>
            <w:shd w:val="clear" w:color="auto" w:fill="auto"/>
            <w:vAlign w:val="bottom"/>
          </w:tcPr>
          <w:p w:rsidR="003122FA" w:rsidRPr="00934023" w:rsidRDefault="003122FA" w:rsidP="00AF575F">
            <w:pPr>
              <w:jc w:val="center"/>
              <w:rPr>
                <w:rFonts w:ascii="Calibri" w:hAnsi="Calibri" w:cs="Calibri"/>
                <w:b/>
                <w:bCs/>
                <w:color w:val="000000"/>
                <w:sz w:val="32"/>
                <w:szCs w:val="32"/>
              </w:rPr>
            </w:pPr>
            <w:r w:rsidRPr="00934023">
              <w:rPr>
                <w:rFonts w:ascii="Calibri" w:hAnsi="Calibri" w:cs="Calibri"/>
                <w:b/>
                <w:bCs/>
                <w:color w:val="000000"/>
                <w:sz w:val="32"/>
                <w:szCs w:val="32"/>
              </w:rPr>
              <w:t> </w:t>
            </w:r>
          </w:p>
        </w:tc>
      </w:tr>
      <w:tr w:rsidR="003122FA" w:rsidRPr="00934023" w:rsidTr="00AF575F">
        <w:trPr>
          <w:trHeight w:val="300"/>
        </w:trPr>
        <w:tc>
          <w:tcPr>
            <w:tcW w:w="163" w:type="pct"/>
            <w:tcBorders>
              <w:top w:val="nil"/>
              <w:left w:val="nil"/>
              <w:bottom w:val="nil"/>
              <w:right w:val="nil"/>
            </w:tcBorders>
            <w:shd w:val="clear" w:color="auto" w:fill="auto"/>
            <w:vAlign w:val="bottom"/>
          </w:tcPr>
          <w:p w:rsidR="003122FA" w:rsidRPr="00934023" w:rsidRDefault="003122FA" w:rsidP="00AF575F">
            <w:pPr>
              <w:jc w:val="center"/>
              <w:rPr>
                <w:rFonts w:ascii="Calibri" w:hAnsi="Calibri" w:cs="Calibri"/>
                <w:b/>
                <w:bCs/>
                <w:color w:val="000000"/>
                <w:sz w:val="32"/>
                <w:szCs w:val="32"/>
              </w:rPr>
            </w:pPr>
          </w:p>
        </w:tc>
        <w:tc>
          <w:tcPr>
            <w:tcW w:w="915" w:type="pct"/>
            <w:gridSpan w:val="2"/>
            <w:tcBorders>
              <w:top w:val="nil"/>
              <w:left w:val="single" w:sz="4" w:space="0" w:color="auto"/>
              <w:bottom w:val="nil"/>
              <w:right w:val="nil"/>
            </w:tcBorders>
            <w:shd w:val="clear" w:color="auto" w:fill="auto"/>
            <w:noWrap/>
            <w:vAlign w:val="center"/>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Version:</w:t>
            </w:r>
            <w:r>
              <w:rPr>
                <w:rFonts w:ascii="Calibri" w:hAnsi="Calibri" w:cs="Calibri"/>
                <w:color w:val="000000"/>
                <w:sz w:val="22"/>
                <w:szCs w:val="22"/>
              </w:rPr>
              <w:t xml:space="preserve"> 1.0</w:t>
            </w:r>
          </w:p>
        </w:tc>
        <w:tc>
          <w:tcPr>
            <w:tcW w:w="3039" w:type="pct"/>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vAlign w:val="bottom"/>
          </w:tcPr>
          <w:p w:rsidR="003122FA" w:rsidRPr="00934023" w:rsidRDefault="003122FA" w:rsidP="00AF575F">
            <w:pPr>
              <w:jc w:val="center"/>
              <w:rPr>
                <w:rFonts w:ascii="Calibri" w:hAnsi="Calibri" w:cs="Calibri"/>
                <w:b/>
                <w:bCs/>
                <w:color w:val="000000"/>
                <w:sz w:val="32"/>
                <w:szCs w:val="32"/>
              </w:rPr>
            </w:pPr>
          </w:p>
        </w:tc>
        <w:tc>
          <w:tcPr>
            <w:tcW w:w="268" w:type="pct"/>
            <w:tcBorders>
              <w:top w:val="nil"/>
              <w:left w:val="nil"/>
              <w:bottom w:val="nil"/>
              <w:right w:val="nil"/>
            </w:tcBorders>
            <w:shd w:val="clear" w:color="auto" w:fill="auto"/>
            <w:vAlign w:val="bottom"/>
          </w:tcPr>
          <w:p w:rsidR="003122FA" w:rsidRPr="00934023" w:rsidRDefault="003122FA" w:rsidP="00AF575F">
            <w:pPr>
              <w:jc w:val="center"/>
              <w:rPr>
                <w:rFonts w:ascii="Calibri" w:hAnsi="Calibri" w:cs="Calibri"/>
                <w:b/>
                <w:bCs/>
                <w:color w:val="000000"/>
                <w:sz w:val="32"/>
                <w:szCs w:val="32"/>
              </w:rPr>
            </w:pPr>
          </w:p>
        </w:tc>
        <w:tc>
          <w:tcPr>
            <w:tcW w:w="322" w:type="pct"/>
            <w:tcBorders>
              <w:top w:val="nil"/>
              <w:left w:val="nil"/>
              <w:bottom w:val="nil"/>
              <w:right w:val="single" w:sz="4" w:space="0" w:color="auto"/>
            </w:tcBorders>
            <w:shd w:val="clear" w:color="auto" w:fill="auto"/>
            <w:vAlign w:val="bottom"/>
          </w:tcPr>
          <w:p w:rsidR="003122FA" w:rsidRPr="00934023" w:rsidRDefault="003122FA" w:rsidP="00AF575F">
            <w:pPr>
              <w:jc w:val="center"/>
              <w:rPr>
                <w:rFonts w:ascii="Calibri" w:hAnsi="Calibri" w:cs="Calibri"/>
                <w:b/>
                <w:bCs/>
                <w:color w:val="000000"/>
                <w:sz w:val="32"/>
                <w:szCs w:val="32"/>
              </w:rPr>
            </w:pPr>
            <w:r w:rsidRPr="00934023">
              <w:rPr>
                <w:rFonts w:ascii="Calibri" w:hAnsi="Calibri" w:cs="Calibri"/>
                <w:b/>
                <w:bCs/>
                <w:color w:val="000000"/>
                <w:sz w:val="32"/>
                <w:szCs w:val="32"/>
              </w:rPr>
              <w:t> </w:t>
            </w:r>
          </w:p>
        </w:tc>
      </w:tr>
      <w:tr w:rsidR="003122FA" w:rsidRPr="00934023" w:rsidTr="00AF575F">
        <w:trPr>
          <w:trHeight w:val="300"/>
        </w:trPr>
        <w:tc>
          <w:tcPr>
            <w:tcW w:w="163" w:type="pct"/>
            <w:tcBorders>
              <w:top w:val="nil"/>
              <w:left w:val="nil"/>
              <w:bottom w:val="nil"/>
              <w:right w:val="nil"/>
            </w:tcBorders>
            <w:shd w:val="clear" w:color="auto" w:fill="auto"/>
            <w:vAlign w:val="bottom"/>
          </w:tcPr>
          <w:p w:rsidR="003122FA" w:rsidRPr="00934023" w:rsidRDefault="003122FA" w:rsidP="00AF575F">
            <w:pPr>
              <w:jc w:val="center"/>
              <w:rPr>
                <w:rFonts w:ascii="Calibri" w:hAnsi="Calibri" w:cs="Calibri"/>
                <w:b/>
                <w:bCs/>
                <w:color w:val="000000"/>
                <w:sz w:val="32"/>
                <w:szCs w:val="32"/>
              </w:rPr>
            </w:pPr>
          </w:p>
        </w:tc>
        <w:tc>
          <w:tcPr>
            <w:tcW w:w="3954" w:type="pct"/>
            <w:gridSpan w:val="3"/>
            <w:tcBorders>
              <w:top w:val="nil"/>
              <w:left w:val="single" w:sz="4" w:space="0" w:color="auto"/>
              <w:bottom w:val="single" w:sz="4" w:space="0" w:color="auto"/>
              <w:right w:val="nil"/>
            </w:tcBorders>
            <w:shd w:val="clear" w:color="auto" w:fill="auto"/>
            <w:noWrap/>
            <w:vAlign w:val="center"/>
          </w:tcPr>
          <w:p w:rsidR="003122FA" w:rsidRDefault="003122FA" w:rsidP="00AF575F">
            <w:pPr>
              <w:rPr>
                <w:rFonts w:ascii="Calibri" w:hAnsi="Calibri" w:cs="Calibri"/>
                <w:color w:val="000000"/>
                <w:sz w:val="22"/>
                <w:szCs w:val="22"/>
              </w:rPr>
            </w:pPr>
            <w:r w:rsidRPr="00934023">
              <w:rPr>
                <w:rFonts w:ascii="Calibri" w:hAnsi="Calibri" w:cs="Calibri"/>
                <w:color w:val="000000"/>
                <w:sz w:val="22"/>
                <w:szCs w:val="22"/>
              </w:rPr>
              <w:t>Date Prepared:</w:t>
            </w:r>
            <w:r>
              <w:rPr>
                <w:rFonts w:ascii="Calibri" w:hAnsi="Calibri" w:cs="Calibri"/>
                <w:color w:val="000000"/>
                <w:sz w:val="22"/>
                <w:szCs w:val="22"/>
              </w:rPr>
              <w:t xml:space="preserve"> Dec. 13, 2011</w:t>
            </w:r>
          </w:p>
          <w:p w:rsidR="003122FA" w:rsidRPr="00934023" w:rsidRDefault="003122FA" w:rsidP="00AF575F">
            <w:pPr>
              <w:rPr>
                <w:rFonts w:ascii="Calibri" w:hAnsi="Calibri" w:cs="Calibri"/>
                <w:color w:val="000000"/>
                <w:sz w:val="22"/>
                <w:szCs w:val="22"/>
              </w:rPr>
            </w:pPr>
            <w:r>
              <w:rPr>
                <w:rFonts w:ascii="Calibri" w:hAnsi="Calibri" w:cs="Calibri"/>
                <w:color w:val="000000"/>
                <w:sz w:val="22"/>
                <w:szCs w:val="22"/>
              </w:rPr>
              <w:t>Contact: Won Lee</w:t>
            </w:r>
          </w:p>
        </w:tc>
        <w:tc>
          <w:tcPr>
            <w:tcW w:w="293" w:type="pct"/>
            <w:tcBorders>
              <w:top w:val="nil"/>
              <w:left w:val="nil"/>
              <w:bottom w:val="single" w:sz="4" w:space="0" w:color="auto"/>
              <w:right w:val="nil"/>
            </w:tcBorders>
            <w:shd w:val="clear" w:color="auto" w:fill="auto"/>
            <w:vAlign w:val="bottom"/>
          </w:tcPr>
          <w:p w:rsidR="003122FA" w:rsidRPr="00934023" w:rsidRDefault="003122FA" w:rsidP="00AF575F">
            <w:pPr>
              <w:jc w:val="center"/>
              <w:rPr>
                <w:rFonts w:ascii="Calibri" w:hAnsi="Calibri" w:cs="Calibri"/>
                <w:b/>
                <w:bCs/>
                <w:color w:val="000000"/>
                <w:sz w:val="32"/>
                <w:szCs w:val="32"/>
              </w:rPr>
            </w:pPr>
            <w:r w:rsidRPr="00934023">
              <w:rPr>
                <w:rFonts w:ascii="Calibri" w:hAnsi="Calibri" w:cs="Calibri"/>
                <w:b/>
                <w:bCs/>
                <w:color w:val="000000"/>
                <w:sz w:val="32"/>
                <w:szCs w:val="32"/>
              </w:rPr>
              <w:t> </w:t>
            </w:r>
          </w:p>
        </w:tc>
        <w:tc>
          <w:tcPr>
            <w:tcW w:w="268" w:type="pct"/>
            <w:tcBorders>
              <w:top w:val="nil"/>
              <w:left w:val="nil"/>
              <w:bottom w:val="single" w:sz="4" w:space="0" w:color="auto"/>
              <w:right w:val="nil"/>
            </w:tcBorders>
            <w:shd w:val="clear" w:color="auto" w:fill="auto"/>
            <w:vAlign w:val="bottom"/>
          </w:tcPr>
          <w:p w:rsidR="003122FA" w:rsidRPr="00934023" w:rsidRDefault="003122FA" w:rsidP="00AF575F">
            <w:pPr>
              <w:jc w:val="center"/>
              <w:rPr>
                <w:rFonts w:ascii="Calibri" w:hAnsi="Calibri" w:cs="Calibri"/>
                <w:b/>
                <w:bCs/>
                <w:color w:val="000000"/>
                <w:sz w:val="32"/>
                <w:szCs w:val="32"/>
              </w:rPr>
            </w:pPr>
            <w:r w:rsidRPr="00934023">
              <w:rPr>
                <w:rFonts w:ascii="Calibri" w:hAnsi="Calibri" w:cs="Calibri"/>
                <w:b/>
                <w:bCs/>
                <w:color w:val="000000"/>
                <w:sz w:val="32"/>
                <w:szCs w:val="32"/>
              </w:rPr>
              <w:t> </w:t>
            </w:r>
          </w:p>
        </w:tc>
        <w:tc>
          <w:tcPr>
            <w:tcW w:w="322" w:type="pct"/>
            <w:tcBorders>
              <w:top w:val="nil"/>
              <w:left w:val="nil"/>
              <w:bottom w:val="single" w:sz="4" w:space="0" w:color="auto"/>
              <w:right w:val="single" w:sz="4" w:space="0" w:color="auto"/>
            </w:tcBorders>
            <w:shd w:val="clear" w:color="auto" w:fill="auto"/>
            <w:vAlign w:val="bottom"/>
          </w:tcPr>
          <w:p w:rsidR="003122FA" w:rsidRPr="00934023" w:rsidRDefault="003122FA" w:rsidP="00AF575F">
            <w:pPr>
              <w:jc w:val="center"/>
              <w:rPr>
                <w:rFonts w:ascii="Calibri" w:hAnsi="Calibri" w:cs="Calibri"/>
                <w:b/>
                <w:bCs/>
                <w:color w:val="000000"/>
                <w:sz w:val="32"/>
                <w:szCs w:val="32"/>
              </w:rPr>
            </w:pPr>
            <w:r w:rsidRPr="00934023">
              <w:rPr>
                <w:rFonts w:ascii="Calibri" w:hAnsi="Calibri" w:cs="Calibri"/>
                <w:b/>
                <w:bCs/>
                <w:color w:val="000000"/>
                <w:sz w:val="32"/>
                <w:szCs w:val="32"/>
              </w:rPr>
              <w:t> </w:t>
            </w:r>
          </w:p>
        </w:tc>
      </w:tr>
      <w:tr w:rsidR="003122FA" w:rsidRPr="00934023" w:rsidTr="00AF575F">
        <w:trPr>
          <w:trHeight w:val="18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915" w:type="pct"/>
            <w:gridSpan w:val="2"/>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039" w:type="pct"/>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15"/>
        </w:trPr>
        <w:tc>
          <w:tcPr>
            <w:tcW w:w="5000" w:type="pct"/>
            <w:gridSpan w:val="7"/>
            <w:tcBorders>
              <w:top w:val="nil"/>
              <w:left w:val="nil"/>
              <w:bottom w:val="single" w:sz="8" w:space="0" w:color="auto"/>
              <w:right w:val="nil"/>
            </w:tcBorders>
            <w:shd w:val="clear" w:color="000000" w:fill="D8D8D8"/>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b/>
                <w:bCs/>
                <w:color w:val="000000"/>
                <w:sz w:val="22"/>
                <w:szCs w:val="22"/>
              </w:rPr>
              <w:t xml:space="preserve">Compliance with XML Design Rules and Conventions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XML Tag Naming Conventions</w:t>
            </w:r>
          </w:p>
        </w:tc>
        <w:tc>
          <w:tcPr>
            <w:tcW w:w="293" w:type="pct"/>
            <w:tcBorders>
              <w:top w:val="nil"/>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nil"/>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nil"/>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GD1-1</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All schemas are valid and conformant to W3C technical specifications.</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GD3-1</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xml:space="preserve">All element and </w:t>
            </w:r>
            <w:proofErr w:type="spellStart"/>
            <w:r w:rsidRPr="00934023">
              <w:rPr>
                <w:rFonts w:ascii="Calibri" w:hAnsi="Calibri" w:cs="Calibri"/>
                <w:color w:val="000000"/>
                <w:sz w:val="22"/>
                <w:szCs w:val="22"/>
              </w:rPr>
              <w:t>datatype</w:t>
            </w:r>
            <w:proofErr w:type="spellEnd"/>
            <w:r w:rsidRPr="00934023">
              <w:rPr>
                <w:rFonts w:ascii="Calibri" w:hAnsi="Calibri" w:cs="Calibri"/>
                <w:color w:val="000000"/>
                <w:sz w:val="22"/>
                <w:szCs w:val="22"/>
              </w:rPr>
              <w:t xml:space="preserve"> names are in </w:t>
            </w:r>
            <w:proofErr w:type="spellStart"/>
            <w:r w:rsidRPr="00934023">
              <w:rPr>
                <w:rFonts w:ascii="Calibri" w:hAnsi="Calibri" w:cs="Calibri"/>
                <w:color w:val="000000"/>
                <w:sz w:val="22"/>
                <w:szCs w:val="22"/>
              </w:rPr>
              <w:t>UpperCamelCase</w:t>
            </w:r>
            <w:proofErr w:type="spellEnd"/>
            <w:r w:rsidRPr="00934023">
              <w:rPr>
                <w:rFonts w:ascii="Calibri" w:hAnsi="Calibri" w:cs="Calibri"/>
                <w:color w:val="000000"/>
                <w:sz w:val="22"/>
                <w:szCs w:val="22"/>
              </w:rPr>
              <w:t>.</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GD3-3</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xml:space="preserve">All attribute names are in </w:t>
            </w:r>
            <w:proofErr w:type="spellStart"/>
            <w:r w:rsidRPr="00934023">
              <w:rPr>
                <w:rFonts w:ascii="Calibri" w:hAnsi="Calibri" w:cs="Calibri"/>
                <w:color w:val="000000"/>
                <w:sz w:val="22"/>
                <w:szCs w:val="22"/>
              </w:rPr>
              <w:t>lowerCamelCase</w:t>
            </w:r>
            <w:proofErr w:type="spellEnd"/>
            <w:r w:rsidRPr="00934023">
              <w:rPr>
                <w:rFonts w:ascii="Calibri" w:hAnsi="Calibri" w:cs="Calibri"/>
                <w:color w:val="000000"/>
                <w:sz w:val="22"/>
                <w:szCs w:val="22"/>
              </w:rPr>
              <w:t>.</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GD3-6</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All schema construct names are devoid of underscores, periods or dashes.</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GD3-8</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All tag names unique throughout the schema.</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6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GD3-12</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All lowest-level element tag names follow UN/CEFACT naming standards consisting of Object Class, Property Class, and Representation Term.</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GD3-17</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All element tag names are in singular form.</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GD3-A</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xml:space="preserve">All </w:t>
            </w:r>
            <w:proofErr w:type="spellStart"/>
            <w:r w:rsidRPr="00934023">
              <w:rPr>
                <w:rFonts w:ascii="Calibri" w:hAnsi="Calibri" w:cs="Calibri"/>
                <w:color w:val="000000"/>
                <w:sz w:val="22"/>
                <w:szCs w:val="22"/>
              </w:rPr>
              <w:t>datatype</w:t>
            </w:r>
            <w:proofErr w:type="spellEnd"/>
            <w:r w:rsidRPr="00934023">
              <w:rPr>
                <w:rFonts w:ascii="Calibri" w:hAnsi="Calibri" w:cs="Calibri"/>
                <w:color w:val="000000"/>
                <w:sz w:val="22"/>
                <w:szCs w:val="22"/>
              </w:rPr>
              <w:t xml:space="preserve"> tag names end in "Type" or "</w:t>
            </w:r>
            <w:proofErr w:type="spellStart"/>
            <w:r w:rsidRPr="00934023">
              <w:rPr>
                <w:rFonts w:ascii="Calibri" w:hAnsi="Calibri" w:cs="Calibri"/>
                <w:color w:val="000000"/>
                <w:sz w:val="22"/>
                <w:szCs w:val="22"/>
              </w:rPr>
              <w:t>DataType</w:t>
            </w:r>
            <w:proofErr w:type="spellEnd"/>
            <w:r w:rsidRPr="00934023">
              <w:rPr>
                <w:rFonts w:ascii="Calibri" w:hAnsi="Calibri" w:cs="Calibri"/>
                <w:color w:val="000000"/>
                <w:sz w:val="22"/>
                <w:szCs w:val="22"/>
              </w:rPr>
              <w:t>".</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43" w:type="pct"/>
            <w:gridSpan w:val="2"/>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Elements and Attributes</w:t>
            </w:r>
          </w:p>
        </w:tc>
        <w:tc>
          <w:tcPr>
            <w:tcW w:w="293"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single" w:sz="4" w:space="0" w:color="auto"/>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SD3-1</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All elements are declared as global.</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SD3-9</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Attributes, if implemented, are only used to store metadata.</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43" w:type="pct"/>
            <w:gridSpan w:val="2"/>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Namespaces</w:t>
            </w:r>
          </w:p>
        </w:tc>
        <w:tc>
          <w:tcPr>
            <w:tcW w:w="293"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single" w:sz="4" w:space="0" w:color="auto"/>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SD4-2</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All schema constructs namespace qualified.</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SD4-A</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All schemas use the proper Exchange Network namespace naming convention.</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SD4-D</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The schema namespace only contains the exchange's major version number.</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43" w:type="pct"/>
            <w:gridSpan w:val="2"/>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Schema Configuration and Documentation</w:t>
            </w:r>
          </w:p>
        </w:tc>
        <w:tc>
          <w:tcPr>
            <w:tcW w:w="293"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single" w:sz="4" w:space="0" w:color="auto"/>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SD5-R</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Schemas have been modularized into default, message, component, and shared schemas.</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285"/>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GD2-A</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The schema package includes an "index.xsd" schema that includes each root schedule for the exchange.</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SD5-A</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The schema uses Shared Schema Components where appropriate for the targeted business processes.</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SD5-34</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Each schema file includes the standard schema header documentation.</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242"/>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43" w:type="pct"/>
            <w:gridSpan w:val="2"/>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Schema Versioning</w:t>
            </w:r>
          </w:p>
        </w:tc>
        <w:tc>
          <w:tcPr>
            <w:tcW w:w="293"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single" w:sz="4" w:space="0" w:color="auto"/>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6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SD5-F</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If the schema represents a minor version increment from a previous schema, the only changes the addition of new optional elements or constructs.</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r>
      <w:tr w:rsidR="003122FA" w:rsidRPr="00934023" w:rsidTr="00AF575F">
        <w:trPr>
          <w:trHeight w:val="6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SD5-H</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xml:space="preserve">If the schema represents a minor version increment from a previous schema, it implements an identical namespace as </w:t>
            </w:r>
            <w:proofErr w:type="spellStart"/>
            <w:proofErr w:type="gramStart"/>
            <w:r w:rsidRPr="00934023">
              <w:rPr>
                <w:rFonts w:ascii="Calibri" w:hAnsi="Calibri" w:cs="Calibri"/>
                <w:color w:val="000000"/>
                <w:sz w:val="22"/>
                <w:szCs w:val="22"/>
              </w:rPr>
              <w:t>it's</w:t>
            </w:r>
            <w:proofErr w:type="spellEnd"/>
            <w:proofErr w:type="gramEnd"/>
            <w:r w:rsidRPr="00934023">
              <w:rPr>
                <w:rFonts w:ascii="Calibri" w:hAnsi="Calibri" w:cs="Calibri"/>
                <w:color w:val="000000"/>
                <w:sz w:val="22"/>
                <w:szCs w:val="22"/>
              </w:rPr>
              <w:t xml:space="preserve"> predecessor.</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r>
      <w:tr w:rsidR="003122FA" w:rsidRPr="00934023" w:rsidTr="00AF575F">
        <w:trPr>
          <w:trHeight w:val="6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SD5-K</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The schema file names, XSD version attribute, header documentation, and namespace all contain matching version information.</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GD2-C, D, E</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Schema file names match the naming rules for message, component, and local shared schemas.</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43" w:type="pct"/>
            <w:gridSpan w:val="2"/>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Information Association and Uniqueness</w:t>
            </w:r>
          </w:p>
        </w:tc>
        <w:tc>
          <w:tcPr>
            <w:tcW w:w="293"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single" w:sz="4" w:space="0" w:color="auto"/>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SD6-4</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If KEY and KEYREF are used, the constructs have been tested to ensure they are implemented properly.</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43" w:type="pct"/>
            <w:gridSpan w:val="2"/>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15"/>
        </w:trPr>
        <w:tc>
          <w:tcPr>
            <w:tcW w:w="4116" w:type="pct"/>
            <w:gridSpan w:val="4"/>
            <w:tcBorders>
              <w:top w:val="nil"/>
              <w:left w:val="nil"/>
              <w:bottom w:val="single" w:sz="8" w:space="0" w:color="auto"/>
              <w:right w:val="nil"/>
            </w:tcBorders>
            <w:shd w:val="clear" w:color="000000" w:fill="D8D8D8"/>
            <w:noWrap/>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Compliance with Exchange Design Rules and Conventions</w:t>
            </w:r>
          </w:p>
        </w:tc>
        <w:tc>
          <w:tcPr>
            <w:tcW w:w="293" w:type="pct"/>
            <w:tcBorders>
              <w:top w:val="nil"/>
              <w:left w:val="nil"/>
              <w:bottom w:val="single" w:sz="8" w:space="0" w:color="auto"/>
              <w:right w:val="nil"/>
            </w:tcBorders>
            <w:shd w:val="clear" w:color="000000" w:fill="D8D8D8"/>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8" w:space="0" w:color="auto"/>
              <w:right w:val="nil"/>
            </w:tcBorders>
            <w:shd w:val="clear" w:color="000000" w:fill="D8D8D8"/>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8" w:space="0" w:color="auto"/>
              <w:right w:val="nil"/>
            </w:tcBorders>
            <w:shd w:val="clear" w:color="000000" w:fill="D8D8D8"/>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nil"/>
              <w:left w:val="single" w:sz="4" w:space="0" w:color="auto"/>
              <w:bottom w:val="single" w:sz="4" w:space="0" w:color="auto"/>
              <w:right w:val="single" w:sz="4" w:space="0" w:color="000000"/>
            </w:tcBorders>
            <w:shd w:val="clear" w:color="auto" w:fill="auto"/>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General Exchange Design</w:t>
            </w:r>
          </w:p>
        </w:tc>
        <w:tc>
          <w:tcPr>
            <w:tcW w:w="293" w:type="pct"/>
            <w:tcBorders>
              <w:top w:val="nil"/>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nil"/>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nil"/>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XD1-1</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The exchange is prescribed an exchange identifier in the form of a single term or acronym.</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XD1-2</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The exchange identifier used consistently throughout the schema and exchange documentation.</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43" w:type="pct"/>
            <w:gridSpan w:val="2"/>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Exchange Development and Publishing</w:t>
            </w:r>
          </w:p>
        </w:tc>
        <w:tc>
          <w:tcPr>
            <w:tcW w:w="293"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single" w:sz="4" w:space="0" w:color="auto"/>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6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XD2-6</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The exchange package includes all required components including XML schema, schema conformance report, DET, FCD and one or more valid instance files.</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XD2-9</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If the package is a new version of an existing schema, a schema change log is included in the package.</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XD2-10</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xml:space="preserve">The exchange </w:t>
            </w:r>
            <w:proofErr w:type="gramStart"/>
            <w:r w:rsidRPr="00934023">
              <w:rPr>
                <w:rFonts w:ascii="Calibri" w:hAnsi="Calibri" w:cs="Calibri"/>
                <w:color w:val="000000"/>
                <w:sz w:val="22"/>
                <w:szCs w:val="22"/>
              </w:rPr>
              <w:t>package include</w:t>
            </w:r>
            <w:proofErr w:type="gramEnd"/>
            <w:r w:rsidRPr="00934023">
              <w:rPr>
                <w:rFonts w:ascii="Calibri" w:hAnsi="Calibri" w:cs="Calibri"/>
                <w:color w:val="000000"/>
                <w:sz w:val="22"/>
                <w:szCs w:val="22"/>
              </w:rPr>
              <w:t xml:space="preserve"> a description of use and rejection of SSCs in the exchange schema.</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557"/>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43" w:type="pct"/>
            <w:gridSpan w:val="2"/>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Exchange Component Versioning</w:t>
            </w:r>
          </w:p>
        </w:tc>
        <w:tc>
          <w:tcPr>
            <w:tcW w:w="293"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single" w:sz="4" w:space="0" w:color="auto"/>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XD3-1, 2, 3</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If the package is for a new version of an exchange, the appropriate versioning principles are applied.</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XD3-4</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All components of the exchange package share a matching version number.</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XD3-5</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All documents in the exchange follow the file name requirements.</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6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XD3-6, 7</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If the exchange package contains any draft components, they are labeled as draft in the component name.</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3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XD3-9</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If applicable, all Query and Solicit data service names unique from previous versions of the exchange.</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43" w:type="pct"/>
            <w:gridSpan w:val="2"/>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Exchange Documentation</w:t>
            </w:r>
          </w:p>
        </w:tc>
        <w:tc>
          <w:tcPr>
            <w:tcW w:w="293"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single" w:sz="4" w:space="0" w:color="auto"/>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XD4-1</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Is the Flow Configuration Document based on the most recent Network-approved FCD template?</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XD4-5</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Does the FCD document the steps for a new partner to implement and participate in the exchange?</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6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XD4-6</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AB44DB">
              <w:rPr>
                <w:rFonts w:ascii="Calibri" w:hAnsi="Calibri" w:cs="Calibri"/>
                <w:color w:val="000000"/>
                <w:sz w:val="22"/>
                <w:szCs w:val="22"/>
              </w:rPr>
              <w:t>Does the FCD indicate which operations and/or services are required or optional for a partner to implement?</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XD4-7</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xml:space="preserve">Does the FCD list the specific meaning of each of the applicable </w:t>
            </w:r>
            <w:proofErr w:type="spellStart"/>
            <w:r w:rsidRPr="00934023">
              <w:rPr>
                <w:rFonts w:ascii="Calibri" w:hAnsi="Calibri" w:cs="Calibri"/>
                <w:color w:val="000000"/>
                <w:sz w:val="22"/>
                <w:szCs w:val="22"/>
              </w:rPr>
              <w:t>GetStatus</w:t>
            </w:r>
            <w:proofErr w:type="spellEnd"/>
            <w:r w:rsidRPr="00934023">
              <w:rPr>
                <w:rFonts w:ascii="Calibri" w:hAnsi="Calibri" w:cs="Calibri"/>
                <w:color w:val="000000"/>
                <w:sz w:val="22"/>
                <w:szCs w:val="22"/>
              </w:rPr>
              <w:t xml:space="preserve"> responses, if applicable?</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43" w:type="pct"/>
            <w:gridSpan w:val="2"/>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Query and Solicit Services</w:t>
            </w:r>
          </w:p>
        </w:tc>
        <w:tc>
          <w:tcPr>
            <w:tcW w:w="293"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single" w:sz="4" w:space="0" w:color="auto"/>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XD5-1, 2</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All data service names follow the data service naming guidelines.</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6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XD5-4</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If any data service accepts XML-formatted parameters, the XML schema is documented and included in the exchange package.</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6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XD5-7, 8</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xml:space="preserve">The FCD fully documents the parameter names, data types, </w:t>
            </w:r>
            <w:proofErr w:type="spellStart"/>
            <w:r w:rsidRPr="00934023">
              <w:rPr>
                <w:rFonts w:ascii="Calibri" w:hAnsi="Calibri" w:cs="Calibri"/>
                <w:color w:val="000000"/>
                <w:sz w:val="22"/>
                <w:szCs w:val="22"/>
              </w:rPr>
              <w:t>occurance</w:t>
            </w:r>
            <w:proofErr w:type="spellEnd"/>
            <w:r w:rsidRPr="00934023">
              <w:rPr>
                <w:rFonts w:ascii="Calibri" w:hAnsi="Calibri" w:cs="Calibri"/>
                <w:color w:val="000000"/>
                <w:sz w:val="22"/>
                <w:szCs w:val="22"/>
              </w:rPr>
              <w:t>, wildcard behavior and return schema for each data service.</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XD5-9</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F73D8E" w:rsidRDefault="003122FA" w:rsidP="00AF575F">
            <w:pPr>
              <w:rPr>
                <w:rFonts w:ascii="Calibri" w:hAnsi="Calibri" w:cs="Calibri"/>
                <w:color w:val="000000"/>
                <w:sz w:val="22"/>
                <w:szCs w:val="22"/>
              </w:rPr>
            </w:pPr>
            <w:r w:rsidRPr="00F73D8E">
              <w:rPr>
                <w:rFonts w:ascii="Calibri" w:hAnsi="Calibri" w:cs="Calibri"/>
                <w:color w:val="000000"/>
                <w:sz w:val="22"/>
                <w:szCs w:val="22"/>
              </w:rPr>
              <w:t>The FCD indicates what constitutes a "row" for any service that is made available as a Query.</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43" w:type="pct"/>
            <w:gridSpan w:val="2"/>
            <w:tcBorders>
              <w:top w:val="nil"/>
              <w:left w:val="nil"/>
              <w:bottom w:val="nil"/>
              <w:right w:val="nil"/>
            </w:tcBorders>
            <w:shd w:val="clear" w:color="auto" w:fill="auto"/>
            <w:vAlign w:val="bottom"/>
          </w:tcPr>
          <w:p w:rsidR="003122FA" w:rsidRPr="00934023" w:rsidRDefault="003122FA" w:rsidP="00AF575F">
            <w:pPr>
              <w:rPr>
                <w:rFonts w:ascii="Calibri" w:hAnsi="Calibri" w:cs="Calibri"/>
                <w:color w:val="000000"/>
                <w:sz w:val="22"/>
                <w:szCs w:val="22"/>
              </w:rPr>
            </w:pPr>
          </w:p>
        </w:tc>
        <w:tc>
          <w:tcPr>
            <w:tcW w:w="29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268"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22"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3954"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3122FA" w:rsidRPr="00934023" w:rsidRDefault="003122FA" w:rsidP="00AF575F">
            <w:pPr>
              <w:rPr>
                <w:rFonts w:ascii="Calibri" w:hAnsi="Calibri" w:cs="Calibri"/>
                <w:b/>
                <w:bCs/>
                <w:color w:val="000000"/>
                <w:sz w:val="22"/>
                <w:szCs w:val="22"/>
              </w:rPr>
            </w:pPr>
            <w:r w:rsidRPr="00934023">
              <w:rPr>
                <w:rFonts w:ascii="Calibri" w:hAnsi="Calibri" w:cs="Calibri"/>
                <w:b/>
                <w:bCs/>
                <w:color w:val="000000"/>
                <w:sz w:val="22"/>
                <w:szCs w:val="22"/>
              </w:rPr>
              <w:t>Exchange Network Header</w:t>
            </w:r>
          </w:p>
        </w:tc>
        <w:tc>
          <w:tcPr>
            <w:tcW w:w="293"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Yes</w:t>
            </w:r>
          </w:p>
        </w:tc>
        <w:tc>
          <w:tcPr>
            <w:tcW w:w="268" w:type="pct"/>
            <w:tcBorders>
              <w:top w:val="single" w:sz="4" w:space="0" w:color="auto"/>
              <w:left w:val="nil"/>
              <w:bottom w:val="single" w:sz="4" w:space="0" w:color="auto"/>
              <w:right w:val="nil"/>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 xml:space="preserve">No </w:t>
            </w:r>
          </w:p>
        </w:tc>
        <w:tc>
          <w:tcPr>
            <w:tcW w:w="322" w:type="pct"/>
            <w:tcBorders>
              <w:top w:val="single" w:sz="4" w:space="0" w:color="auto"/>
              <w:left w:val="nil"/>
              <w:bottom w:val="single" w:sz="4" w:space="0" w:color="auto"/>
              <w:right w:val="single" w:sz="4" w:space="0" w:color="auto"/>
            </w:tcBorders>
            <w:shd w:val="clear" w:color="000000" w:fill="F2F2F2"/>
            <w:noWrap/>
            <w:vAlign w:val="bottom"/>
          </w:tcPr>
          <w:p w:rsidR="003122FA" w:rsidRPr="00934023" w:rsidRDefault="003122FA" w:rsidP="00AF575F">
            <w:pPr>
              <w:jc w:val="center"/>
              <w:rPr>
                <w:rFonts w:ascii="Calibri" w:hAnsi="Calibri" w:cs="Calibri"/>
                <w:color w:val="000000"/>
                <w:sz w:val="22"/>
                <w:szCs w:val="22"/>
              </w:rPr>
            </w:pPr>
            <w:r w:rsidRPr="00934023">
              <w:rPr>
                <w:rFonts w:ascii="Calibri" w:hAnsi="Calibri" w:cs="Calibri"/>
                <w:color w:val="000000"/>
                <w:sz w:val="22"/>
                <w:szCs w:val="22"/>
              </w:rPr>
              <w:t>N/A</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XD6-1</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The Header is implemented in all Submit operations.</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r>
      <w:tr w:rsidR="003122FA" w:rsidRPr="00934023" w:rsidTr="00AF575F">
        <w:trPr>
          <w:trHeight w:val="6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XD6-6</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The FCD documents allowable values for the Header operation attribute along with a precise description of how each operation affects payload processing.</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r>
      <w:tr w:rsidR="003122FA" w:rsidRPr="00934023" w:rsidTr="00AF575F">
        <w:trPr>
          <w:trHeight w:val="6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XD6-10</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If the Header is used, the FCD describes whether multiple payloads are supported and how they must be structured.</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r>
      <w:tr w:rsidR="003122FA" w:rsidRPr="00934023" w:rsidTr="00AF575F">
        <w:trPr>
          <w:trHeight w:val="300"/>
        </w:trPr>
        <w:tc>
          <w:tcPr>
            <w:tcW w:w="163" w:type="pct"/>
            <w:tcBorders>
              <w:top w:val="nil"/>
              <w:left w:val="nil"/>
              <w:bottom w:val="nil"/>
              <w:right w:val="nil"/>
            </w:tcBorders>
            <w:shd w:val="clear" w:color="auto" w:fill="auto"/>
            <w:noWrap/>
            <w:vAlign w:val="bottom"/>
          </w:tcPr>
          <w:p w:rsidR="003122FA" w:rsidRPr="00934023" w:rsidRDefault="003122FA" w:rsidP="00AF575F">
            <w:pPr>
              <w:rPr>
                <w:rFonts w:ascii="Calibri" w:hAnsi="Calibri" w:cs="Calibri"/>
                <w:color w:val="000000"/>
                <w:sz w:val="22"/>
                <w:szCs w:val="22"/>
              </w:rPr>
            </w:pPr>
          </w:p>
        </w:tc>
        <w:tc>
          <w:tcPr>
            <w:tcW w:w="711" w:type="pct"/>
            <w:tcBorders>
              <w:top w:val="nil"/>
              <w:left w:val="single" w:sz="4" w:space="0" w:color="auto"/>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XD6-13</w:t>
            </w:r>
          </w:p>
        </w:tc>
        <w:tc>
          <w:tcPr>
            <w:tcW w:w="3243" w:type="pct"/>
            <w:gridSpan w:val="2"/>
            <w:tcBorders>
              <w:top w:val="nil"/>
              <w:left w:val="nil"/>
              <w:bottom w:val="single" w:sz="4" w:space="0" w:color="auto"/>
              <w:right w:val="single" w:sz="4" w:space="0" w:color="auto"/>
            </w:tcBorders>
            <w:shd w:val="clear" w:color="auto" w:fill="auto"/>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If the Header is used, it is the latest Network-approved Header.</w:t>
            </w:r>
          </w:p>
        </w:tc>
        <w:tc>
          <w:tcPr>
            <w:tcW w:w="293"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268"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p>
        </w:tc>
        <w:tc>
          <w:tcPr>
            <w:tcW w:w="322" w:type="pct"/>
            <w:tcBorders>
              <w:top w:val="nil"/>
              <w:left w:val="nil"/>
              <w:bottom w:val="single" w:sz="4" w:space="0" w:color="auto"/>
              <w:right w:val="single" w:sz="4" w:space="0" w:color="auto"/>
            </w:tcBorders>
            <w:shd w:val="clear" w:color="auto" w:fill="auto"/>
            <w:noWrap/>
            <w:vAlign w:val="bottom"/>
          </w:tcPr>
          <w:p w:rsidR="003122FA" w:rsidRPr="00934023" w:rsidRDefault="003122FA" w:rsidP="00AF575F">
            <w:pPr>
              <w:rPr>
                <w:rFonts w:ascii="Calibri" w:hAnsi="Calibri" w:cs="Calibri"/>
                <w:color w:val="000000"/>
                <w:sz w:val="22"/>
                <w:szCs w:val="22"/>
              </w:rPr>
            </w:pPr>
            <w:r w:rsidRPr="00934023">
              <w:rPr>
                <w:rFonts w:ascii="Calibri" w:hAnsi="Calibri" w:cs="Calibri"/>
                <w:color w:val="000000"/>
                <w:sz w:val="22"/>
                <w:szCs w:val="22"/>
              </w:rPr>
              <w:t> </w:t>
            </w:r>
            <w:r>
              <w:rPr>
                <w:rFonts w:ascii="Calibri" w:hAnsi="Calibri" w:cs="Calibri"/>
                <w:color w:val="000000"/>
                <w:sz w:val="22"/>
                <w:szCs w:val="22"/>
              </w:rPr>
              <w:t>x</w:t>
            </w:r>
          </w:p>
        </w:tc>
      </w:tr>
    </w:tbl>
    <w:p w:rsidR="003122FA" w:rsidRDefault="003122FA" w:rsidP="003122FA"/>
    <w:p w:rsidR="003122FA" w:rsidRDefault="003122FA" w:rsidP="003122FA">
      <w:pPr>
        <w:pStyle w:val="Heading3"/>
      </w:pPr>
      <w:r>
        <w:br w:type="page"/>
      </w:r>
      <w:bookmarkStart w:id="1" w:name="_Toc267477913"/>
      <w:r w:rsidRPr="003810F7">
        <w:lastRenderedPageBreak/>
        <w:t>Checklist Exceptions</w:t>
      </w:r>
      <w:bookmarkEnd w:id="1"/>
    </w:p>
    <w:p w:rsidR="003122FA" w:rsidRDefault="003122FA" w:rsidP="003122FA"/>
    <w:tbl>
      <w:tblPr>
        <w:tblW w:w="5000" w:type="pct"/>
        <w:tblLook w:val="04A0"/>
      </w:tblPr>
      <w:tblGrid>
        <w:gridCol w:w="554"/>
        <w:gridCol w:w="9022"/>
      </w:tblGrid>
      <w:tr w:rsidR="003122FA" w:rsidRPr="003810F7" w:rsidTr="00AF575F">
        <w:trPr>
          <w:trHeight w:val="300"/>
        </w:trPr>
        <w:tc>
          <w:tcPr>
            <w:tcW w:w="289" w:type="pct"/>
            <w:tcBorders>
              <w:top w:val="single" w:sz="4" w:space="0" w:color="auto"/>
              <w:left w:val="single" w:sz="4" w:space="0" w:color="auto"/>
              <w:bottom w:val="single" w:sz="4" w:space="0" w:color="auto"/>
              <w:right w:val="single" w:sz="4" w:space="0" w:color="auto"/>
            </w:tcBorders>
            <w:shd w:val="clear" w:color="000000" w:fill="F2F2F2"/>
            <w:noWrap/>
            <w:vAlign w:val="bottom"/>
          </w:tcPr>
          <w:p w:rsidR="003122FA" w:rsidRPr="003810F7" w:rsidRDefault="003122FA" w:rsidP="00AF575F">
            <w:pPr>
              <w:rPr>
                <w:rFonts w:ascii="Calibri" w:hAnsi="Calibri" w:cs="Calibri"/>
                <w:b/>
                <w:bCs/>
                <w:color w:val="000000"/>
                <w:sz w:val="22"/>
                <w:szCs w:val="22"/>
              </w:rPr>
            </w:pPr>
            <w:r w:rsidRPr="003810F7">
              <w:rPr>
                <w:rFonts w:ascii="Calibri" w:hAnsi="Calibri" w:cs="Calibri"/>
                <w:b/>
                <w:bCs/>
                <w:color w:val="000000"/>
                <w:sz w:val="22"/>
                <w:szCs w:val="22"/>
              </w:rPr>
              <w:t>DRC/EDRC ID</w:t>
            </w:r>
          </w:p>
        </w:tc>
        <w:tc>
          <w:tcPr>
            <w:tcW w:w="4711" w:type="pct"/>
            <w:tcBorders>
              <w:top w:val="single" w:sz="4" w:space="0" w:color="auto"/>
              <w:left w:val="nil"/>
              <w:bottom w:val="single" w:sz="4" w:space="0" w:color="auto"/>
              <w:right w:val="single" w:sz="4" w:space="0" w:color="auto"/>
            </w:tcBorders>
            <w:shd w:val="clear" w:color="000000" w:fill="F2F2F2"/>
            <w:noWrap/>
            <w:vAlign w:val="bottom"/>
          </w:tcPr>
          <w:p w:rsidR="003122FA" w:rsidRPr="003810F7" w:rsidRDefault="003122FA" w:rsidP="00AF575F">
            <w:pPr>
              <w:rPr>
                <w:rFonts w:ascii="Calibri" w:hAnsi="Calibri" w:cs="Calibri"/>
                <w:b/>
                <w:bCs/>
                <w:color w:val="000000"/>
                <w:sz w:val="22"/>
                <w:szCs w:val="22"/>
              </w:rPr>
            </w:pPr>
            <w:r w:rsidRPr="003810F7">
              <w:rPr>
                <w:rFonts w:ascii="Calibri" w:hAnsi="Calibri" w:cs="Calibri"/>
                <w:b/>
                <w:bCs/>
                <w:color w:val="000000"/>
                <w:sz w:val="22"/>
                <w:szCs w:val="22"/>
              </w:rPr>
              <w:t>Reason for Exception</w:t>
            </w:r>
          </w:p>
        </w:tc>
      </w:tr>
      <w:tr w:rsidR="003122FA" w:rsidRPr="003810F7" w:rsidTr="00AF575F">
        <w:trPr>
          <w:trHeight w:val="795"/>
        </w:trPr>
        <w:tc>
          <w:tcPr>
            <w:tcW w:w="289" w:type="pct"/>
            <w:tcBorders>
              <w:top w:val="nil"/>
              <w:left w:val="single" w:sz="4" w:space="0" w:color="auto"/>
              <w:bottom w:val="single" w:sz="4" w:space="0" w:color="auto"/>
              <w:right w:val="single" w:sz="4" w:space="0" w:color="auto"/>
            </w:tcBorders>
            <w:shd w:val="clear" w:color="auto" w:fill="auto"/>
            <w:noWrap/>
            <w:vAlign w:val="bottom"/>
          </w:tcPr>
          <w:p w:rsidR="003122FA" w:rsidRPr="003810F7" w:rsidRDefault="003122FA" w:rsidP="00AF575F">
            <w:pPr>
              <w:rPr>
                <w:rFonts w:ascii="Calibri" w:hAnsi="Calibri" w:cs="Calibri"/>
                <w:color w:val="000000"/>
                <w:sz w:val="22"/>
                <w:szCs w:val="22"/>
              </w:rPr>
            </w:pPr>
            <w:r w:rsidRPr="00934023">
              <w:rPr>
                <w:rFonts w:ascii="Calibri" w:hAnsi="Calibri" w:cs="Calibri"/>
                <w:color w:val="000000"/>
                <w:sz w:val="22"/>
                <w:szCs w:val="22"/>
              </w:rPr>
              <w:t>XD2-10</w:t>
            </w:r>
          </w:p>
        </w:tc>
        <w:tc>
          <w:tcPr>
            <w:tcW w:w="4711" w:type="pct"/>
            <w:tcBorders>
              <w:top w:val="nil"/>
              <w:left w:val="nil"/>
              <w:bottom w:val="single" w:sz="4" w:space="0" w:color="auto"/>
              <w:right w:val="single" w:sz="4" w:space="0" w:color="auto"/>
            </w:tcBorders>
            <w:shd w:val="clear" w:color="auto" w:fill="auto"/>
            <w:noWrap/>
            <w:vAlign w:val="bottom"/>
          </w:tcPr>
          <w:p w:rsidR="003122FA" w:rsidRDefault="003122FA" w:rsidP="00AF575F">
            <w:pPr>
              <w:rPr>
                <w:rFonts w:ascii="Calibri" w:hAnsi="Calibri" w:cs="Calibri"/>
                <w:color w:val="000000"/>
                <w:sz w:val="22"/>
                <w:szCs w:val="22"/>
              </w:rPr>
            </w:pPr>
            <w:r>
              <w:rPr>
                <w:rFonts w:ascii="Calibri" w:hAnsi="Calibri" w:cs="Calibri"/>
                <w:color w:val="000000"/>
                <w:sz w:val="22"/>
                <w:szCs w:val="22"/>
              </w:rPr>
              <w:t xml:space="preserve">The ICIS data model attributes such as character length and business rules have already been clearly established.  The ICIS Schema itself is also well-established and many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elements in the ICISDA Schema are the same or similar to these elements.  Because of the specificity of the attributes needed for this ICISDA Schema, it would not be efficient to utilize the more general attributes and characteristics of the Shared Schema Components.</w:t>
            </w:r>
          </w:p>
        </w:tc>
      </w:tr>
      <w:tr w:rsidR="003122FA" w:rsidRPr="003810F7" w:rsidTr="00AF575F">
        <w:trPr>
          <w:trHeight w:val="795"/>
        </w:trPr>
        <w:tc>
          <w:tcPr>
            <w:tcW w:w="289" w:type="pct"/>
            <w:tcBorders>
              <w:top w:val="nil"/>
              <w:left w:val="single" w:sz="4" w:space="0" w:color="auto"/>
              <w:bottom w:val="single" w:sz="4" w:space="0" w:color="auto"/>
              <w:right w:val="single" w:sz="4" w:space="0" w:color="auto"/>
            </w:tcBorders>
            <w:shd w:val="clear" w:color="auto" w:fill="auto"/>
            <w:noWrap/>
            <w:vAlign w:val="bottom"/>
          </w:tcPr>
          <w:p w:rsidR="003122FA" w:rsidRPr="003810F7" w:rsidRDefault="003122FA" w:rsidP="00AF575F">
            <w:pPr>
              <w:rPr>
                <w:rFonts w:ascii="Calibri" w:hAnsi="Calibri" w:cs="Calibri"/>
                <w:color w:val="000000"/>
                <w:sz w:val="22"/>
                <w:szCs w:val="22"/>
              </w:rPr>
            </w:pPr>
            <w:r w:rsidRPr="003810F7">
              <w:rPr>
                <w:rFonts w:ascii="Calibri" w:hAnsi="Calibri" w:cs="Calibri"/>
                <w:color w:val="000000"/>
                <w:sz w:val="22"/>
                <w:szCs w:val="22"/>
              </w:rPr>
              <w:t> </w:t>
            </w:r>
            <w:r>
              <w:rPr>
                <w:rFonts w:ascii="Calibri" w:hAnsi="Calibri" w:cs="Calibri"/>
                <w:color w:val="000000"/>
                <w:sz w:val="22"/>
                <w:szCs w:val="22"/>
              </w:rPr>
              <w:t>XD4-5</w:t>
            </w:r>
          </w:p>
        </w:tc>
        <w:tc>
          <w:tcPr>
            <w:tcW w:w="4711" w:type="pct"/>
            <w:tcBorders>
              <w:top w:val="nil"/>
              <w:left w:val="nil"/>
              <w:bottom w:val="single" w:sz="4" w:space="0" w:color="auto"/>
              <w:right w:val="single" w:sz="4" w:space="0" w:color="auto"/>
            </w:tcBorders>
            <w:shd w:val="clear" w:color="auto" w:fill="auto"/>
            <w:noWrap/>
            <w:vAlign w:val="bottom"/>
          </w:tcPr>
          <w:p w:rsidR="003122FA" w:rsidRPr="003810F7" w:rsidRDefault="003122FA" w:rsidP="00AF575F">
            <w:pPr>
              <w:rPr>
                <w:rFonts w:ascii="Calibri" w:hAnsi="Calibri" w:cs="Calibri"/>
                <w:color w:val="000000"/>
                <w:sz w:val="22"/>
                <w:szCs w:val="22"/>
              </w:rPr>
            </w:pPr>
            <w:r>
              <w:rPr>
                <w:rFonts w:ascii="Calibri" w:hAnsi="Calibri" w:cs="Calibri"/>
                <w:color w:val="000000"/>
                <w:sz w:val="22"/>
                <w:szCs w:val="22"/>
              </w:rPr>
              <w:t>The current version of the dataflow only supports the ICIS reference table data family.  In the future, other ICIS data families will be developed for this dataflow, and the FCD, Schema, etc., will be updated with the new services, request parameters, elements, etc.</w:t>
            </w:r>
          </w:p>
        </w:tc>
      </w:tr>
      <w:tr w:rsidR="003122FA" w:rsidRPr="003810F7" w:rsidTr="00AF575F">
        <w:trPr>
          <w:trHeight w:val="795"/>
        </w:trPr>
        <w:tc>
          <w:tcPr>
            <w:tcW w:w="289" w:type="pct"/>
            <w:tcBorders>
              <w:top w:val="nil"/>
              <w:left w:val="single" w:sz="4" w:space="0" w:color="auto"/>
              <w:bottom w:val="single" w:sz="4" w:space="0" w:color="auto"/>
              <w:right w:val="single" w:sz="4" w:space="0" w:color="auto"/>
            </w:tcBorders>
            <w:shd w:val="clear" w:color="auto" w:fill="auto"/>
            <w:noWrap/>
            <w:vAlign w:val="bottom"/>
          </w:tcPr>
          <w:p w:rsidR="003122FA" w:rsidRPr="003810F7" w:rsidRDefault="003122FA" w:rsidP="00AF575F">
            <w:pPr>
              <w:rPr>
                <w:rFonts w:ascii="Calibri" w:hAnsi="Calibri" w:cs="Calibri"/>
                <w:color w:val="000000"/>
                <w:sz w:val="22"/>
                <w:szCs w:val="22"/>
              </w:rPr>
            </w:pPr>
            <w:r w:rsidRPr="003810F7">
              <w:rPr>
                <w:rFonts w:ascii="Calibri" w:hAnsi="Calibri" w:cs="Calibri"/>
                <w:color w:val="000000"/>
                <w:sz w:val="22"/>
                <w:szCs w:val="22"/>
              </w:rPr>
              <w:t> </w:t>
            </w:r>
            <w:r>
              <w:rPr>
                <w:rFonts w:ascii="Calibri" w:hAnsi="Calibri" w:cs="Calibri"/>
                <w:color w:val="000000"/>
                <w:sz w:val="22"/>
                <w:szCs w:val="22"/>
              </w:rPr>
              <w:t>XD6-6</w:t>
            </w:r>
          </w:p>
        </w:tc>
        <w:tc>
          <w:tcPr>
            <w:tcW w:w="4711" w:type="pct"/>
            <w:tcBorders>
              <w:top w:val="nil"/>
              <w:left w:val="nil"/>
              <w:bottom w:val="single" w:sz="4" w:space="0" w:color="auto"/>
              <w:right w:val="single" w:sz="4" w:space="0" w:color="auto"/>
            </w:tcBorders>
            <w:shd w:val="clear" w:color="auto" w:fill="auto"/>
            <w:noWrap/>
            <w:vAlign w:val="bottom"/>
          </w:tcPr>
          <w:p w:rsidR="003122FA" w:rsidRPr="003810F7" w:rsidRDefault="003122FA" w:rsidP="00AF575F">
            <w:pPr>
              <w:rPr>
                <w:rFonts w:ascii="Calibri" w:hAnsi="Calibri" w:cs="Calibri"/>
                <w:color w:val="000000"/>
                <w:sz w:val="22"/>
                <w:szCs w:val="22"/>
              </w:rPr>
            </w:pPr>
            <w:r w:rsidRPr="003810F7">
              <w:rPr>
                <w:rFonts w:ascii="Calibri" w:hAnsi="Calibri" w:cs="Calibri"/>
                <w:color w:val="000000"/>
                <w:sz w:val="22"/>
                <w:szCs w:val="22"/>
              </w:rPr>
              <w:t> </w:t>
            </w:r>
            <w:r>
              <w:rPr>
                <w:rFonts w:ascii="Calibri" w:hAnsi="Calibri" w:cs="Calibri"/>
                <w:color w:val="000000"/>
                <w:sz w:val="22"/>
                <w:szCs w:val="22"/>
              </w:rPr>
              <w:t>The ICISDA dataflow does not contain any header elements, since it is only a query service.</w:t>
            </w:r>
          </w:p>
        </w:tc>
      </w:tr>
    </w:tbl>
    <w:p w:rsidR="003122FA" w:rsidRPr="009E78C5" w:rsidRDefault="003122FA" w:rsidP="003122FA"/>
    <w:p w:rsidR="00554974" w:rsidRDefault="00554974"/>
    <w:sectPr w:rsidR="00554974" w:rsidSect="00486B41">
      <w:footerReference w:type="default" r:id="rId6"/>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05" w:rsidRDefault="00182A05" w:rsidP="00DB0E92">
      <w:r>
        <w:separator/>
      </w:r>
    </w:p>
  </w:endnote>
  <w:endnote w:type="continuationSeparator" w:id="0">
    <w:p w:rsidR="00182A05" w:rsidRDefault="00182A05" w:rsidP="00DB0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86501"/>
      <w:docPartObj>
        <w:docPartGallery w:val="Page Numbers (Bottom of Page)"/>
        <w:docPartUnique/>
      </w:docPartObj>
    </w:sdtPr>
    <w:sdtContent>
      <w:p w:rsidR="00DB0E92" w:rsidRDefault="00DB0E92">
        <w:pPr>
          <w:pStyle w:val="Footer"/>
          <w:jc w:val="center"/>
        </w:pPr>
        <w:fldSimple w:instr=" PAGE   \* MERGEFORMAT ">
          <w:r>
            <w:rPr>
              <w:noProof/>
            </w:rPr>
            <w:t>1</w:t>
          </w:r>
        </w:fldSimple>
      </w:p>
    </w:sdtContent>
  </w:sdt>
  <w:p w:rsidR="00486B41" w:rsidRDefault="00182A05">
    <w:pPr>
      <w:pStyle w:val="Footer"/>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05" w:rsidRDefault="00182A05" w:rsidP="00DB0E92">
      <w:r>
        <w:separator/>
      </w:r>
    </w:p>
  </w:footnote>
  <w:footnote w:type="continuationSeparator" w:id="0">
    <w:p w:rsidR="00182A05" w:rsidRDefault="00182A05" w:rsidP="00DB0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3122FA"/>
    <w:rsid w:val="00182A05"/>
    <w:rsid w:val="003122FA"/>
    <w:rsid w:val="00554974"/>
    <w:rsid w:val="00DB0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22F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3122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2FA"/>
    <w:rPr>
      <w:rFonts w:ascii="Arial" w:eastAsia="Times New Roman" w:hAnsi="Arial" w:cs="Arial"/>
      <w:b/>
      <w:bCs/>
      <w:kern w:val="32"/>
      <w:sz w:val="32"/>
      <w:szCs w:val="32"/>
    </w:rPr>
  </w:style>
  <w:style w:type="character" w:customStyle="1" w:styleId="Heading3Char">
    <w:name w:val="Heading 3 Char"/>
    <w:basedOn w:val="DefaultParagraphFont"/>
    <w:link w:val="Heading3"/>
    <w:rsid w:val="003122FA"/>
    <w:rPr>
      <w:rFonts w:ascii="Arial" w:eastAsia="Times New Roman" w:hAnsi="Arial" w:cs="Arial"/>
      <w:b/>
      <w:bCs/>
      <w:sz w:val="26"/>
      <w:szCs w:val="26"/>
    </w:rPr>
  </w:style>
  <w:style w:type="paragraph" w:styleId="Header">
    <w:name w:val="header"/>
    <w:basedOn w:val="Normal"/>
    <w:link w:val="HeaderChar"/>
    <w:rsid w:val="003122FA"/>
    <w:pPr>
      <w:tabs>
        <w:tab w:val="center" w:pos="4320"/>
        <w:tab w:val="right" w:pos="8640"/>
      </w:tabs>
    </w:pPr>
  </w:style>
  <w:style w:type="character" w:customStyle="1" w:styleId="HeaderChar">
    <w:name w:val="Header Char"/>
    <w:basedOn w:val="DefaultParagraphFont"/>
    <w:link w:val="Header"/>
    <w:rsid w:val="003122FA"/>
    <w:rPr>
      <w:rFonts w:ascii="Times New Roman" w:eastAsia="Times New Roman" w:hAnsi="Times New Roman" w:cs="Times New Roman"/>
      <w:sz w:val="24"/>
      <w:szCs w:val="24"/>
    </w:rPr>
  </w:style>
  <w:style w:type="paragraph" w:styleId="Footer">
    <w:name w:val="footer"/>
    <w:basedOn w:val="Normal"/>
    <w:link w:val="FooterChar"/>
    <w:uiPriority w:val="99"/>
    <w:rsid w:val="003122FA"/>
    <w:pPr>
      <w:tabs>
        <w:tab w:val="center" w:pos="4320"/>
        <w:tab w:val="right" w:pos="8640"/>
      </w:tabs>
    </w:pPr>
  </w:style>
  <w:style w:type="character" w:customStyle="1" w:styleId="FooterChar">
    <w:name w:val="Footer Char"/>
    <w:basedOn w:val="DefaultParagraphFont"/>
    <w:link w:val="Footer"/>
    <w:uiPriority w:val="99"/>
    <w:rsid w:val="003122FA"/>
    <w:rPr>
      <w:rFonts w:ascii="Times New Roman" w:eastAsia="Times New Roman" w:hAnsi="Times New Roman" w:cs="Times New Roman"/>
      <w:sz w:val="24"/>
      <w:szCs w:val="24"/>
    </w:rPr>
  </w:style>
  <w:style w:type="character" w:styleId="PageNumber">
    <w:name w:val="page number"/>
    <w:basedOn w:val="DefaultParagraphFont"/>
    <w:rsid w:val="003122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1053</Words>
  <Characters>6008</Characters>
  <Application>Microsoft Office Word</Application>
  <DocSecurity>0</DocSecurity>
  <Lines>50</Lines>
  <Paragraphs>14</Paragraphs>
  <ScaleCrop>false</ScaleCrop>
  <Company>US-EPA</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Kittle</dc:creator>
  <cp:keywords/>
  <dc:description/>
  <cp:lastModifiedBy>Alison Kittle</cp:lastModifiedBy>
  <cp:revision>2</cp:revision>
  <dcterms:created xsi:type="dcterms:W3CDTF">2011-12-15T13:41:00Z</dcterms:created>
  <dcterms:modified xsi:type="dcterms:W3CDTF">2011-12-15T13:43:00Z</dcterms:modified>
</cp:coreProperties>
</file>